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07F4336" w14:textId="283C507F" w:rsidR="00ED204F" w:rsidRPr="00732BC7" w:rsidRDefault="00091749">
      <w:pPr>
        <w:jc w:val="center"/>
        <w:rPr>
          <w:lang w:val="en-US"/>
        </w:rPr>
      </w:pPr>
      <w:r w:rsidRPr="00732BC7">
        <w:rPr>
          <w:b/>
          <w:lang w:val="en-US"/>
        </w:rPr>
        <w:t xml:space="preserve">      </w:t>
      </w:r>
      <w:r w:rsidR="001B4027">
        <w:rPr>
          <w:b/>
          <w:noProof/>
        </w:rPr>
        <w:drawing>
          <wp:inline distT="0" distB="0" distL="0" distR="0" wp14:anchorId="1E0A860C" wp14:editId="12A20839">
            <wp:extent cx="1262625" cy="10744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0453" cy="1115119"/>
                    </a:xfrm>
                    <a:prstGeom prst="rect">
                      <a:avLst/>
                    </a:prstGeom>
                  </pic:spPr>
                </pic:pic>
              </a:graphicData>
            </a:graphic>
          </wp:inline>
        </w:drawing>
      </w:r>
      <w:r w:rsidR="001B4027" w:rsidRPr="00732BC7">
        <w:rPr>
          <w:b/>
          <w:lang w:val="en-US"/>
        </w:rPr>
        <w:t xml:space="preserve">                                                                        </w:t>
      </w:r>
      <w:r w:rsidRPr="00732BC7">
        <w:rPr>
          <w:b/>
          <w:lang w:val="en-US"/>
        </w:rPr>
        <w:t xml:space="preserve">  </w:t>
      </w:r>
      <w:r w:rsidR="001B4027">
        <w:rPr>
          <w:b/>
          <w:noProof/>
        </w:rPr>
        <w:drawing>
          <wp:inline distT="0" distB="0" distL="0" distR="0" wp14:anchorId="3919BD37" wp14:editId="71A269CE">
            <wp:extent cx="1665605" cy="9550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18" t="-31" r="-18" b="-31"/>
                    <a:stretch>
                      <a:fillRect/>
                    </a:stretch>
                  </pic:blipFill>
                  <pic:spPr>
                    <a:xfrm>
                      <a:off x="0" y="0"/>
                      <a:ext cx="1665605" cy="955040"/>
                    </a:xfrm>
                    <a:prstGeom prst="rect">
                      <a:avLst/>
                    </a:prstGeom>
                    <a:ln/>
                  </pic:spPr>
                </pic:pic>
              </a:graphicData>
            </a:graphic>
          </wp:inline>
        </w:drawing>
      </w:r>
      <w:r w:rsidRPr="00732BC7">
        <w:rPr>
          <w:b/>
          <w:lang w:val="en-US"/>
        </w:rPr>
        <w:t xml:space="preserve"> </w:t>
      </w:r>
    </w:p>
    <w:p w14:paraId="6D4238DE" w14:textId="77777777" w:rsidR="00ED204F" w:rsidRPr="00732BC7" w:rsidRDefault="00ED204F">
      <w:pPr>
        <w:spacing w:line="276" w:lineRule="auto"/>
        <w:jc w:val="center"/>
        <w:rPr>
          <w:b/>
          <w:i/>
          <w:sz w:val="12"/>
          <w:szCs w:val="12"/>
          <w:lang w:val="en-US"/>
        </w:rPr>
      </w:pPr>
    </w:p>
    <w:p w14:paraId="7ABB2D7D" w14:textId="77777777" w:rsidR="001B4027" w:rsidRPr="00732BC7" w:rsidRDefault="001B4027" w:rsidP="00105C68">
      <w:pPr>
        <w:jc w:val="center"/>
        <w:rPr>
          <w:b/>
          <w:bCs/>
          <w:sz w:val="32"/>
          <w:szCs w:val="32"/>
          <w:lang w:val="en-US"/>
        </w:rPr>
      </w:pPr>
    </w:p>
    <w:p w14:paraId="3E92051B" w14:textId="2CE8D189" w:rsidR="00105C68" w:rsidRPr="00732BC7" w:rsidRDefault="00105C68" w:rsidP="00105C68">
      <w:pPr>
        <w:jc w:val="center"/>
        <w:rPr>
          <w:sz w:val="32"/>
          <w:szCs w:val="32"/>
          <w:lang w:val="en-US"/>
        </w:rPr>
      </w:pPr>
      <w:proofErr w:type="spellStart"/>
      <w:r w:rsidRPr="00732BC7">
        <w:rPr>
          <w:b/>
          <w:bCs/>
          <w:sz w:val="32"/>
          <w:szCs w:val="32"/>
          <w:lang w:val="en-US"/>
        </w:rPr>
        <w:t>Fieragricola</w:t>
      </w:r>
      <w:proofErr w:type="spellEnd"/>
      <w:r w:rsidRPr="00732BC7">
        <w:rPr>
          <w:b/>
          <w:bCs/>
          <w:sz w:val="32"/>
          <w:szCs w:val="32"/>
          <w:lang w:val="en-US"/>
        </w:rPr>
        <w:t xml:space="preserve"> Tech 2025 – 30 </w:t>
      </w:r>
      <w:proofErr w:type="spellStart"/>
      <w:r w:rsidRPr="00732BC7">
        <w:rPr>
          <w:b/>
          <w:bCs/>
          <w:sz w:val="32"/>
          <w:szCs w:val="32"/>
          <w:lang w:val="en-US"/>
        </w:rPr>
        <w:t>gennaio</w:t>
      </w:r>
      <w:proofErr w:type="spellEnd"/>
      <w:r w:rsidRPr="00732BC7">
        <w:rPr>
          <w:b/>
          <w:bCs/>
          <w:sz w:val="32"/>
          <w:szCs w:val="32"/>
          <w:lang w:val="en-US"/>
        </w:rPr>
        <w:t xml:space="preserve"> 2025</w:t>
      </w:r>
    </w:p>
    <w:p w14:paraId="4F31507A" w14:textId="77777777" w:rsidR="00105C68" w:rsidRPr="00732BC7" w:rsidRDefault="00105C68" w:rsidP="00436DD1">
      <w:pPr>
        <w:jc w:val="center"/>
        <w:rPr>
          <w:b/>
          <w:bCs/>
          <w:sz w:val="28"/>
          <w:szCs w:val="28"/>
          <w:lang w:val="en-US"/>
        </w:rPr>
      </w:pPr>
    </w:p>
    <w:p w14:paraId="61E55347" w14:textId="4FC18C54" w:rsidR="00436DD1" w:rsidRPr="00732BC7" w:rsidRDefault="00436DD1" w:rsidP="00436DD1">
      <w:pPr>
        <w:jc w:val="center"/>
        <w:rPr>
          <w:b/>
          <w:bCs/>
          <w:sz w:val="28"/>
          <w:szCs w:val="28"/>
          <w:lang w:val="en-US"/>
        </w:rPr>
      </w:pPr>
      <w:r w:rsidRPr="00732BC7">
        <w:rPr>
          <w:b/>
          <w:bCs/>
          <w:sz w:val="28"/>
          <w:szCs w:val="28"/>
          <w:lang w:val="en-US"/>
        </w:rPr>
        <w:t xml:space="preserve">SAVE THE DATE </w:t>
      </w:r>
    </w:p>
    <w:p w14:paraId="0D265C58" w14:textId="77777777" w:rsidR="00436DD1" w:rsidRPr="00732BC7" w:rsidRDefault="00436DD1" w:rsidP="00436DD1">
      <w:pPr>
        <w:jc w:val="center"/>
        <w:rPr>
          <w:b/>
          <w:bCs/>
          <w:sz w:val="28"/>
          <w:szCs w:val="28"/>
          <w:lang w:val="en-US"/>
        </w:rPr>
      </w:pPr>
    </w:p>
    <w:p w14:paraId="05EC8E0A" w14:textId="350E0E36" w:rsidR="00436DD1" w:rsidRPr="001B4027" w:rsidRDefault="00436DD1" w:rsidP="00436DD1">
      <w:pPr>
        <w:jc w:val="center"/>
        <w:rPr>
          <w:b/>
          <w:bCs/>
          <w:sz w:val="40"/>
          <w:szCs w:val="40"/>
        </w:rPr>
      </w:pPr>
      <w:r w:rsidRPr="001B4027">
        <w:rPr>
          <w:b/>
          <w:bCs/>
          <w:sz w:val="40"/>
          <w:szCs w:val="40"/>
        </w:rPr>
        <w:t>LA FORMAZIONE PER L’AGRIVOLTAICO SOSTENIBILE</w:t>
      </w:r>
    </w:p>
    <w:p w14:paraId="229E54CD" w14:textId="77777777" w:rsidR="00436DD1" w:rsidRPr="00D37B6F" w:rsidRDefault="00436DD1" w:rsidP="001B4027">
      <w:pPr>
        <w:jc w:val="center"/>
        <w:rPr>
          <w:i/>
          <w:iCs/>
        </w:rPr>
      </w:pPr>
      <w:r w:rsidRPr="001B4027">
        <w:rPr>
          <w:b/>
          <w:bCs/>
          <w:sz w:val="36"/>
          <w:szCs w:val="36"/>
        </w:rPr>
        <w:t>Monitoraggio e controllo</w:t>
      </w:r>
      <w:r>
        <w:rPr>
          <w:b/>
          <w:bCs/>
          <w:sz w:val="36"/>
          <w:szCs w:val="36"/>
        </w:rPr>
        <w:t xml:space="preserve"> </w:t>
      </w:r>
      <w:r w:rsidRPr="001B4027">
        <w:rPr>
          <w:b/>
          <w:bCs/>
          <w:sz w:val="36"/>
          <w:szCs w:val="36"/>
        </w:rPr>
        <w:t xml:space="preserve">dei sistemi </w:t>
      </w:r>
      <w:proofErr w:type="spellStart"/>
      <w:r w:rsidRPr="001B4027">
        <w:rPr>
          <w:b/>
          <w:bCs/>
          <w:sz w:val="36"/>
          <w:szCs w:val="36"/>
        </w:rPr>
        <w:t>agrivoltaici</w:t>
      </w:r>
      <w:proofErr w:type="spellEnd"/>
      <w:r w:rsidRPr="00D37B6F">
        <w:rPr>
          <w:i/>
          <w:iCs/>
        </w:rPr>
        <w:t>.</w:t>
      </w:r>
    </w:p>
    <w:p w14:paraId="11E7D778" w14:textId="79CD0181" w:rsidR="00436DD1" w:rsidRDefault="00436DD1" w:rsidP="00436DD1">
      <w:pPr>
        <w:jc w:val="center"/>
        <w:rPr>
          <w:b/>
          <w:bCs/>
          <w:strike/>
          <w:sz w:val="36"/>
          <w:szCs w:val="36"/>
        </w:rPr>
      </w:pPr>
    </w:p>
    <w:p w14:paraId="48BF9DAF" w14:textId="77777777" w:rsidR="001B4027" w:rsidRDefault="001B4027" w:rsidP="00436DD1">
      <w:pPr>
        <w:jc w:val="center"/>
        <w:rPr>
          <w:b/>
          <w:bCs/>
        </w:rPr>
      </w:pPr>
    </w:p>
    <w:p w14:paraId="3D3C09AD" w14:textId="2D53C0C6" w:rsidR="00D23F6C" w:rsidRDefault="00436DD1" w:rsidP="006365EF">
      <w:pPr>
        <w:spacing w:line="276" w:lineRule="auto"/>
        <w:jc w:val="both"/>
      </w:pPr>
      <w:r w:rsidRPr="000E5122">
        <w:t xml:space="preserve">Verona, </w:t>
      </w:r>
      <w:r w:rsidR="00AA0D3B">
        <w:t>20</w:t>
      </w:r>
      <w:r w:rsidRPr="000E5122">
        <w:t xml:space="preserve"> gennaio 2024 </w:t>
      </w:r>
      <w:r>
        <w:t xml:space="preserve">– </w:t>
      </w:r>
      <w:r w:rsidR="00D23F6C">
        <w:t>Quali sono le opportunità offerte dall'</w:t>
      </w:r>
      <w:proofErr w:type="spellStart"/>
      <w:r w:rsidR="00D23F6C">
        <w:t>agrivoltaico</w:t>
      </w:r>
      <w:proofErr w:type="spellEnd"/>
      <w:r w:rsidR="00D23F6C">
        <w:t xml:space="preserve"> per </w:t>
      </w:r>
      <w:r w:rsidR="003B0429">
        <w:t xml:space="preserve">sviluppare </w:t>
      </w:r>
      <w:r w:rsidR="00D23F6C">
        <w:t>un’agricoltura sostenibile e resiliente ai cambiamenti climatici?</w:t>
      </w:r>
    </w:p>
    <w:p w14:paraId="18087DBC" w14:textId="77777777" w:rsidR="00EB65BA" w:rsidRDefault="00EB65BA" w:rsidP="006365EF">
      <w:pPr>
        <w:spacing w:line="276" w:lineRule="auto"/>
      </w:pPr>
    </w:p>
    <w:p w14:paraId="0710683B" w14:textId="773B70DE" w:rsidR="00D23F6C" w:rsidRDefault="00D23F6C" w:rsidP="006365EF">
      <w:pPr>
        <w:spacing w:line="276" w:lineRule="auto"/>
      </w:pPr>
      <w:r>
        <w:t>La presenza di tecnici ed esperti,</w:t>
      </w:r>
      <w:r w:rsidRPr="00D23F6C">
        <w:rPr>
          <w:b/>
          <w:bCs/>
        </w:rPr>
        <w:t xml:space="preserve"> </w:t>
      </w:r>
      <w:r w:rsidRPr="001B4027">
        <w:t xml:space="preserve">in quest’evento organizzato </w:t>
      </w:r>
      <w:r w:rsidR="00EB65BA">
        <w:t>in occasione di</w:t>
      </w:r>
      <w:r w:rsidR="003B0429">
        <w:t xml:space="preserve"> </w:t>
      </w:r>
      <w:r w:rsidRPr="001B4027">
        <w:t>Fieragricola Tech 2025</w:t>
      </w:r>
      <w:r>
        <w:t xml:space="preserve">, consentirà un approfondimento verticale su temi </w:t>
      </w:r>
      <w:r w:rsidR="003B0429">
        <w:t>quali</w:t>
      </w:r>
      <w:r>
        <w:t xml:space="preserve"> il comportamento delle colture in un </w:t>
      </w:r>
      <w:r w:rsidR="006365EF">
        <w:t>a</w:t>
      </w:r>
      <w:r>
        <w:t xml:space="preserve">mbiente </w:t>
      </w:r>
      <w:proofErr w:type="spellStart"/>
      <w:r>
        <w:t>agrivoltaico</w:t>
      </w:r>
      <w:proofErr w:type="spellEnd"/>
      <w:r>
        <w:t xml:space="preserve"> e la loro qualificazione agronomica, le </w:t>
      </w:r>
      <w:r w:rsidRPr="00D23F6C">
        <w:t>procedure per il calcolo dell</w:t>
      </w:r>
      <w:r>
        <w:t>e superfici</w:t>
      </w:r>
      <w:r w:rsidR="00EB65BA">
        <w:t xml:space="preserve"> </w:t>
      </w:r>
      <w:r>
        <w:t xml:space="preserve">con particolare attenzione alle varie fasi del processo, il contributo del credito e i rapporti con il sistema bancario. Uno sguardo di scenario che sarà </w:t>
      </w:r>
      <w:r w:rsidR="009543F5">
        <w:t>arricchito</w:t>
      </w:r>
      <w:r>
        <w:t xml:space="preserve"> da alcune esperienze in corso. </w:t>
      </w:r>
    </w:p>
    <w:p w14:paraId="2ECDCEC1" w14:textId="1B7B5143" w:rsidR="00D23F6C" w:rsidRDefault="00D23F6C" w:rsidP="006365EF">
      <w:pPr>
        <w:spacing w:line="276" w:lineRule="auto"/>
        <w:jc w:val="both"/>
      </w:pPr>
    </w:p>
    <w:p w14:paraId="2CDFE3BE" w14:textId="7F92841D" w:rsidR="00436DD1" w:rsidRDefault="00D23F6C" w:rsidP="006365EF">
      <w:pPr>
        <w:spacing w:line="276" w:lineRule="auto"/>
      </w:pPr>
      <w:r>
        <w:t xml:space="preserve">L’incontro </w:t>
      </w:r>
      <w:r w:rsidRPr="001E60EE">
        <w:rPr>
          <w:b/>
          <w:bCs/>
        </w:rPr>
        <w:t>“La formazione per l’</w:t>
      </w:r>
      <w:proofErr w:type="spellStart"/>
      <w:r w:rsidRPr="001E60EE">
        <w:rPr>
          <w:b/>
          <w:bCs/>
        </w:rPr>
        <w:t>agrivoltaico</w:t>
      </w:r>
      <w:proofErr w:type="spellEnd"/>
      <w:r w:rsidRPr="001E60EE">
        <w:rPr>
          <w:b/>
          <w:bCs/>
        </w:rPr>
        <w:t xml:space="preserve"> sostenibile: monitoraggio e controllo </w:t>
      </w:r>
      <w:r w:rsidR="000E5122" w:rsidRPr="001E60EE">
        <w:rPr>
          <w:b/>
          <w:bCs/>
        </w:rPr>
        <w:t>per i progetti PNRR e non solo”</w:t>
      </w:r>
      <w:r w:rsidR="001B4027" w:rsidRPr="00EB65BA">
        <w:t>,</w:t>
      </w:r>
      <w:r w:rsidRPr="00EB65BA">
        <w:t xml:space="preserve"> </w:t>
      </w:r>
      <w:r>
        <w:t>in programma giovedì 30 gennaio</w:t>
      </w:r>
      <w:r w:rsidR="00105C68">
        <w:t xml:space="preserve"> ne</w:t>
      </w:r>
      <w:r w:rsidR="00105C68" w:rsidRPr="001B4027">
        <w:t>l Centro Congressi Palaexpo di Veronafiere (Viale dell'Industria, 31, Verona),</w:t>
      </w:r>
      <w:r>
        <w:t xml:space="preserve"> è organizzato dall</w:t>
      </w:r>
      <w:r w:rsidR="00436DD1">
        <w:t xml:space="preserve">’Associazione Italiana </w:t>
      </w:r>
      <w:proofErr w:type="spellStart"/>
      <w:r w:rsidR="00436DD1">
        <w:t>Agrivoltaico</w:t>
      </w:r>
      <w:proofErr w:type="spellEnd"/>
      <w:r w:rsidR="00436DD1">
        <w:t xml:space="preserve"> Sostenibile (AIAS), su iniziativa della Presidenza e della Commissione Formazione di AIAS, in collaborazione con il Consiglio dell’Ordine Nazionale dei Dottori Agronomi e dei Dottori Forestali (CONAF) e con il coordinamento scientifico di ENEA</w:t>
      </w:r>
      <w:r>
        <w:t>.</w:t>
      </w:r>
    </w:p>
    <w:p w14:paraId="2430B363" w14:textId="77777777" w:rsidR="00436DD1" w:rsidRDefault="00436DD1" w:rsidP="006365EF">
      <w:pPr>
        <w:spacing w:line="276" w:lineRule="auto"/>
        <w:jc w:val="both"/>
      </w:pPr>
    </w:p>
    <w:p w14:paraId="180950AB" w14:textId="76AC7BF6" w:rsidR="00732BC7" w:rsidRPr="00D1751D" w:rsidRDefault="001B4027" w:rsidP="006365EF">
      <w:pPr>
        <w:jc w:val="both"/>
        <w:rPr>
          <w:i/>
          <w:iCs/>
          <w:color w:val="000000" w:themeColor="text1"/>
        </w:rPr>
      </w:pPr>
      <w:r w:rsidRPr="001B4027">
        <w:rPr>
          <w:b/>
          <w:bCs/>
        </w:rPr>
        <w:t>Alessandra Scognamiglio</w:t>
      </w:r>
      <w:r w:rsidR="00105C68" w:rsidRPr="001B4027">
        <w:t xml:space="preserve">, Presidente AIAS </w:t>
      </w:r>
      <w:r w:rsidR="00105C68">
        <w:t>-</w:t>
      </w:r>
      <w:r w:rsidR="00105C68" w:rsidRPr="00CA1909">
        <w:t xml:space="preserve"> </w:t>
      </w:r>
      <w:r w:rsidR="00D94F9F" w:rsidRPr="00D1751D">
        <w:rPr>
          <w:i/>
          <w:iCs/>
          <w:color w:val="000000" w:themeColor="text1"/>
        </w:rPr>
        <w:t>"</w:t>
      </w:r>
      <w:r w:rsidR="00732BC7" w:rsidRPr="00D1751D">
        <w:rPr>
          <w:i/>
          <w:iCs/>
          <w:color w:val="000000" w:themeColor="text1"/>
        </w:rPr>
        <w:t>Lo sviluppo dell’</w:t>
      </w:r>
      <w:proofErr w:type="spellStart"/>
      <w:r w:rsidR="00732BC7" w:rsidRPr="00D1751D">
        <w:rPr>
          <w:i/>
          <w:iCs/>
          <w:color w:val="000000" w:themeColor="text1"/>
        </w:rPr>
        <w:t>agrivoltaico</w:t>
      </w:r>
      <w:proofErr w:type="spellEnd"/>
      <w:r w:rsidR="00732BC7" w:rsidRPr="00D1751D">
        <w:rPr>
          <w:i/>
          <w:iCs/>
          <w:color w:val="000000" w:themeColor="text1"/>
        </w:rPr>
        <w:t xml:space="preserve"> pone una sfida complessiva: a partire da un’esigenza energetica si tratta di trasformare un progetto di ingegneria in un progetto di sistema, che include parametri non energetici. La variabile legata alla componente agricola dell’</w:t>
      </w:r>
      <w:proofErr w:type="spellStart"/>
      <w:r w:rsidR="00732BC7" w:rsidRPr="00D1751D">
        <w:rPr>
          <w:i/>
          <w:iCs/>
          <w:color w:val="000000" w:themeColor="text1"/>
        </w:rPr>
        <w:t>agrivoltaico</w:t>
      </w:r>
      <w:proofErr w:type="spellEnd"/>
      <w:r w:rsidR="00732BC7" w:rsidRPr="00D1751D">
        <w:rPr>
          <w:i/>
          <w:iCs/>
          <w:color w:val="000000" w:themeColor="text1"/>
        </w:rPr>
        <w:t xml:space="preserve"> è il tramite</w:t>
      </w:r>
      <w:r w:rsidR="005278D3">
        <w:rPr>
          <w:i/>
          <w:iCs/>
          <w:color w:val="000000" w:themeColor="text1"/>
        </w:rPr>
        <w:t>,</w:t>
      </w:r>
      <w:r w:rsidR="00732BC7" w:rsidRPr="00D1751D">
        <w:rPr>
          <w:i/>
          <w:iCs/>
          <w:color w:val="000000" w:themeColor="text1"/>
        </w:rPr>
        <w:t xml:space="preserve"> il grande ed il piccolo: il suolo con le sue componenti da una parte della scala, il paesaggio dall’altra. Il progetto deve poi creare un valore per il territorio in cui si inserisce attraverso ricadute economiche positive. Per tutto questo è necessario mettere a punto una nuova visione, a partire da un rigoroso sistema di conoscenze, e l’accordo con il CONAF va proprio in questa direzione.”</w:t>
      </w:r>
    </w:p>
    <w:p w14:paraId="18958587" w14:textId="77777777" w:rsidR="00D94F9F" w:rsidRPr="00952D73" w:rsidRDefault="00D94F9F" w:rsidP="006365EF">
      <w:pPr>
        <w:jc w:val="both"/>
        <w:rPr>
          <w:color w:val="FF0000"/>
        </w:rPr>
      </w:pPr>
    </w:p>
    <w:p w14:paraId="170BCF65" w14:textId="326E515E" w:rsidR="00105C68" w:rsidRDefault="009543F5" w:rsidP="006365EF">
      <w:pPr>
        <w:jc w:val="both"/>
        <w:rPr>
          <w:i/>
          <w:iCs/>
          <w:lang w:val="it"/>
        </w:rPr>
      </w:pPr>
      <w:r>
        <w:rPr>
          <w:b/>
          <w:bCs/>
        </w:rPr>
        <w:t>Mauro Uniformi</w:t>
      </w:r>
      <w:r w:rsidR="003B0429" w:rsidRPr="001B4027">
        <w:t xml:space="preserve">, </w:t>
      </w:r>
      <w:r>
        <w:t>Presidente</w:t>
      </w:r>
      <w:r w:rsidR="003B0429" w:rsidRPr="001B4027">
        <w:t xml:space="preserve"> CONAF </w:t>
      </w:r>
      <w:r w:rsidR="004A660F">
        <w:t xml:space="preserve">- </w:t>
      </w:r>
      <w:r w:rsidR="003B0429" w:rsidRPr="001B4027">
        <w:t>“</w:t>
      </w:r>
      <w:r w:rsidR="006E7F08" w:rsidRPr="001B4027">
        <w:rPr>
          <w:i/>
          <w:iCs/>
        </w:rPr>
        <w:t xml:space="preserve">Nei progetti </w:t>
      </w:r>
      <w:proofErr w:type="spellStart"/>
      <w:r w:rsidR="006E7F08" w:rsidRPr="001B4027">
        <w:rPr>
          <w:i/>
          <w:iCs/>
        </w:rPr>
        <w:t>agrivoltaici</w:t>
      </w:r>
      <w:proofErr w:type="spellEnd"/>
      <w:r w:rsidR="006E7F08">
        <w:t xml:space="preserve"> s</w:t>
      </w:r>
      <w:r w:rsidR="003B0429" w:rsidRPr="001B4027">
        <w:rPr>
          <w:i/>
          <w:iCs/>
        </w:rPr>
        <w:t xml:space="preserve">ervono </w:t>
      </w:r>
      <w:r w:rsidR="003B0429" w:rsidRPr="001B4027">
        <w:rPr>
          <w:i/>
          <w:iCs/>
          <w:lang w:val="it"/>
        </w:rPr>
        <w:t>delle rigorose basi tecnico-scientifiche</w:t>
      </w:r>
      <w:r w:rsidR="006E7F08">
        <w:rPr>
          <w:i/>
          <w:iCs/>
          <w:lang w:val="it"/>
        </w:rPr>
        <w:t>,</w:t>
      </w:r>
      <w:r w:rsidR="003B0429" w:rsidRPr="001B4027">
        <w:rPr>
          <w:i/>
          <w:iCs/>
          <w:lang w:val="it"/>
        </w:rPr>
        <w:t xml:space="preserve"> </w:t>
      </w:r>
      <w:r w:rsidR="006E7F08" w:rsidRPr="001B4027">
        <w:rPr>
          <w:i/>
          <w:iCs/>
          <w:lang w:val="it"/>
        </w:rPr>
        <w:t xml:space="preserve">unite a </w:t>
      </w:r>
      <w:r w:rsidR="003B0429" w:rsidRPr="001B4027">
        <w:rPr>
          <w:i/>
          <w:iCs/>
          <w:lang w:val="it"/>
        </w:rPr>
        <w:t xml:space="preserve">una specifica conoscenza agronomica e del territorio per identificare </w:t>
      </w:r>
      <w:r w:rsidR="006E7F08" w:rsidRPr="001B4027">
        <w:rPr>
          <w:i/>
          <w:iCs/>
          <w:lang w:val="it"/>
        </w:rPr>
        <w:t xml:space="preserve">le </w:t>
      </w:r>
      <w:r w:rsidR="003B0429" w:rsidRPr="001B4027">
        <w:rPr>
          <w:i/>
          <w:iCs/>
          <w:lang w:val="it"/>
        </w:rPr>
        <w:t xml:space="preserve">soluzioni </w:t>
      </w:r>
      <w:r w:rsidR="006E7F08">
        <w:rPr>
          <w:i/>
          <w:iCs/>
          <w:lang w:val="it"/>
        </w:rPr>
        <w:t xml:space="preserve">più </w:t>
      </w:r>
      <w:r w:rsidR="003B0429" w:rsidRPr="001B4027">
        <w:rPr>
          <w:i/>
          <w:iCs/>
          <w:lang w:val="it"/>
        </w:rPr>
        <w:t xml:space="preserve">adatte al singolo contesto. </w:t>
      </w:r>
      <w:r w:rsidR="006E7F08" w:rsidRPr="001B4027">
        <w:rPr>
          <w:i/>
          <w:iCs/>
          <w:lang w:val="it"/>
        </w:rPr>
        <w:t xml:space="preserve">Significa </w:t>
      </w:r>
      <w:r w:rsidR="006E7F08">
        <w:rPr>
          <w:i/>
          <w:iCs/>
          <w:lang w:val="it"/>
        </w:rPr>
        <w:t xml:space="preserve">essere pronti a </w:t>
      </w:r>
      <w:r w:rsidR="006E7F08" w:rsidRPr="001B4027">
        <w:rPr>
          <w:i/>
          <w:iCs/>
          <w:lang w:val="it"/>
        </w:rPr>
        <w:t>un cambio di</w:t>
      </w:r>
      <w:r w:rsidR="003B0429" w:rsidRPr="001B4027">
        <w:rPr>
          <w:i/>
          <w:iCs/>
          <w:lang w:val="it"/>
        </w:rPr>
        <w:t xml:space="preserve"> approccio,</w:t>
      </w:r>
      <w:r w:rsidR="006E7F08" w:rsidRPr="001B4027">
        <w:rPr>
          <w:i/>
          <w:iCs/>
          <w:lang w:val="it"/>
        </w:rPr>
        <w:t xml:space="preserve"> che </w:t>
      </w:r>
      <w:r w:rsidR="006E7F08">
        <w:rPr>
          <w:i/>
          <w:iCs/>
          <w:lang w:val="it"/>
        </w:rPr>
        <w:t>ha bisogno di</w:t>
      </w:r>
      <w:r w:rsidR="006E7F08" w:rsidRPr="001B4027">
        <w:rPr>
          <w:i/>
          <w:iCs/>
          <w:lang w:val="it"/>
        </w:rPr>
        <w:t xml:space="preserve"> una competenza specialistica molto qualificata. </w:t>
      </w:r>
    </w:p>
    <w:p w14:paraId="4ED47D2F" w14:textId="0D476FA2" w:rsidR="003B0429" w:rsidRPr="006365EF" w:rsidRDefault="006E7F08" w:rsidP="006365EF">
      <w:pPr>
        <w:jc w:val="both"/>
        <w:rPr>
          <w:lang w:val="it"/>
        </w:rPr>
      </w:pPr>
      <w:r w:rsidRPr="001B4027">
        <w:rPr>
          <w:i/>
          <w:iCs/>
          <w:lang w:val="it"/>
        </w:rPr>
        <w:lastRenderedPageBreak/>
        <w:t>N</w:t>
      </w:r>
      <w:r w:rsidR="003B0429" w:rsidRPr="001B4027">
        <w:rPr>
          <w:i/>
          <w:iCs/>
          <w:lang w:val="it"/>
        </w:rPr>
        <w:t xml:space="preserve">ei progetti </w:t>
      </w:r>
      <w:proofErr w:type="spellStart"/>
      <w:r w:rsidR="003B0429" w:rsidRPr="001B4027">
        <w:rPr>
          <w:i/>
          <w:iCs/>
          <w:lang w:val="it"/>
        </w:rPr>
        <w:t>agrivoltaici</w:t>
      </w:r>
      <w:proofErr w:type="spellEnd"/>
      <w:r w:rsidRPr="001B4027">
        <w:rPr>
          <w:i/>
          <w:iCs/>
          <w:lang w:val="it"/>
        </w:rPr>
        <w:t>, infatti,</w:t>
      </w:r>
      <w:r w:rsidR="003B0429" w:rsidRPr="001B4027">
        <w:rPr>
          <w:i/>
          <w:iCs/>
          <w:lang w:val="it"/>
        </w:rPr>
        <w:t xml:space="preserve"> è necessario </w:t>
      </w:r>
      <w:r w:rsidRPr="001B4027">
        <w:rPr>
          <w:i/>
          <w:iCs/>
          <w:lang w:val="it"/>
        </w:rPr>
        <w:t xml:space="preserve">che </w:t>
      </w:r>
      <w:r w:rsidR="003B0429" w:rsidRPr="001B4027">
        <w:rPr>
          <w:i/>
          <w:iCs/>
          <w:lang w:val="it"/>
        </w:rPr>
        <w:t xml:space="preserve">le specifiche esigenze </w:t>
      </w:r>
      <w:r w:rsidRPr="001B4027">
        <w:rPr>
          <w:i/>
          <w:iCs/>
          <w:lang w:val="it"/>
        </w:rPr>
        <w:t>agronomiche e quelle legate alla produzione energetica siano rispettate in ogni fase</w:t>
      </w:r>
      <w:r>
        <w:rPr>
          <w:lang w:val="it"/>
        </w:rPr>
        <w:t xml:space="preserve">, </w:t>
      </w:r>
      <w:r w:rsidRPr="001B4027">
        <w:rPr>
          <w:i/>
          <w:iCs/>
          <w:lang w:val="it"/>
        </w:rPr>
        <w:t>coordinando i molti attori coinvolti: dagli imprenditori agricoli, alle società di investimento fino al mondo del credito e alla politica</w:t>
      </w:r>
      <w:r>
        <w:rPr>
          <w:lang w:val="it"/>
        </w:rPr>
        <w:t>.”</w:t>
      </w:r>
    </w:p>
    <w:p w14:paraId="1423D2DE" w14:textId="77777777" w:rsidR="00D94F9F" w:rsidRDefault="00D94F9F" w:rsidP="006365EF">
      <w:pPr>
        <w:spacing w:line="276" w:lineRule="auto"/>
        <w:jc w:val="both"/>
      </w:pPr>
    </w:p>
    <w:p w14:paraId="32DB1313" w14:textId="77777777" w:rsidR="00105C68" w:rsidRDefault="00105C68" w:rsidP="006365EF">
      <w:pPr>
        <w:spacing w:line="276" w:lineRule="auto"/>
        <w:jc w:val="both"/>
      </w:pPr>
      <w:r>
        <w:t xml:space="preserve">Il </w:t>
      </w:r>
      <w:r w:rsidRPr="006365EF">
        <w:rPr>
          <w:b/>
          <w:bCs/>
        </w:rPr>
        <w:t>programma</w:t>
      </w:r>
      <w:r>
        <w:t xml:space="preserve"> dell’incontro è in allegato.</w:t>
      </w:r>
    </w:p>
    <w:p w14:paraId="197783CA" w14:textId="77777777" w:rsidR="00105C68" w:rsidRDefault="00105C68" w:rsidP="006365EF">
      <w:pPr>
        <w:spacing w:line="276" w:lineRule="auto"/>
      </w:pPr>
    </w:p>
    <w:p w14:paraId="1907A597" w14:textId="77777777" w:rsidR="00105C68" w:rsidRDefault="00105C68" w:rsidP="006365EF">
      <w:pPr>
        <w:spacing w:line="276" w:lineRule="auto"/>
        <w:jc w:val="both"/>
      </w:pPr>
      <w:r w:rsidRPr="173B95B6">
        <w:rPr>
          <w:rFonts w:eastAsiaTheme="minorEastAsia"/>
          <w:lang w:val="it"/>
        </w:rPr>
        <w:t xml:space="preserve">La partecipazione </w:t>
      </w:r>
      <w:r>
        <w:rPr>
          <w:rFonts w:eastAsiaTheme="minorEastAsia"/>
          <w:lang w:val="it"/>
        </w:rPr>
        <w:t>all’incontro</w:t>
      </w:r>
      <w:r w:rsidRPr="173B95B6">
        <w:rPr>
          <w:rFonts w:eastAsiaTheme="minorEastAsia"/>
          <w:lang w:val="it"/>
        </w:rPr>
        <w:t xml:space="preserve"> è gratuita con iscrizione obbligatoria e prevede il riconoscimento di </w:t>
      </w:r>
      <w:r>
        <w:rPr>
          <w:rFonts w:eastAsiaTheme="minorEastAsia"/>
          <w:lang w:val="it"/>
        </w:rPr>
        <w:t>0,25 Crediti Formativi Professionali (</w:t>
      </w:r>
      <w:r w:rsidRPr="00BA55C2">
        <w:rPr>
          <w:rFonts w:eastAsiaTheme="minorEastAsia"/>
          <w:b/>
          <w:bCs/>
          <w:lang w:val="it"/>
        </w:rPr>
        <w:t>CFP</w:t>
      </w:r>
      <w:r>
        <w:rPr>
          <w:rFonts w:eastAsiaTheme="minorEastAsia"/>
          <w:lang w:val="it"/>
        </w:rPr>
        <w:t>) per gli iscritti all’ordine dei dottori agronomi e dottori forestali</w:t>
      </w:r>
      <w:r w:rsidRPr="173B95B6">
        <w:rPr>
          <w:rFonts w:eastAsiaTheme="minorEastAsia"/>
          <w:lang w:val="it"/>
        </w:rPr>
        <w:t>.</w:t>
      </w:r>
    </w:p>
    <w:p w14:paraId="661DAB54" w14:textId="77777777" w:rsidR="00105C68" w:rsidRDefault="00105C68" w:rsidP="006365EF">
      <w:pPr>
        <w:spacing w:line="276" w:lineRule="auto"/>
        <w:jc w:val="both"/>
      </w:pPr>
    </w:p>
    <w:p w14:paraId="6B78F02C" w14:textId="08924850" w:rsidR="00D94F9F" w:rsidRDefault="006E7F08" w:rsidP="006365EF">
      <w:pPr>
        <w:spacing w:line="276" w:lineRule="auto"/>
        <w:jc w:val="both"/>
        <w:rPr>
          <w:b/>
          <w:bCs/>
        </w:rPr>
      </w:pPr>
      <w:r>
        <w:rPr>
          <w:b/>
          <w:bCs/>
        </w:rPr>
        <w:t xml:space="preserve">LA COLLABORAZIONE TRA </w:t>
      </w:r>
      <w:r w:rsidR="00D94F9F" w:rsidRPr="001B4027">
        <w:rPr>
          <w:b/>
          <w:bCs/>
        </w:rPr>
        <w:t>CONAF e AIAS</w:t>
      </w:r>
    </w:p>
    <w:p w14:paraId="6EECC9DA" w14:textId="77777777" w:rsidR="006365EF" w:rsidRPr="001B4027" w:rsidRDefault="006365EF" w:rsidP="006365EF">
      <w:pPr>
        <w:spacing w:line="276" w:lineRule="auto"/>
        <w:jc w:val="both"/>
        <w:rPr>
          <w:b/>
          <w:bCs/>
        </w:rPr>
      </w:pPr>
    </w:p>
    <w:p w14:paraId="02FA5872" w14:textId="6026E576" w:rsidR="00105C68" w:rsidRDefault="00105C68" w:rsidP="006365EF">
      <w:pPr>
        <w:spacing w:line="276" w:lineRule="auto"/>
        <w:jc w:val="both"/>
        <w:rPr>
          <w:lang w:val="it"/>
        </w:rPr>
      </w:pPr>
      <w:r w:rsidRPr="0074036C">
        <w:rPr>
          <w:lang w:val="it"/>
        </w:rPr>
        <w:t xml:space="preserve">La collaborazione AIAS e CONAF nasce dalla consapevolezza </w:t>
      </w:r>
      <w:r>
        <w:rPr>
          <w:lang w:val="it"/>
        </w:rPr>
        <w:t>delle opportunità offerte dall</w:t>
      </w:r>
      <w:r w:rsidRPr="0074036C">
        <w:rPr>
          <w:lang w:val="it"/>
        </w:rPr>
        <w:t>o sviluppo dell’</w:t>
      </w:r>
      <w:proofErr w:type="spellStart"/>
      <w:r w:rsidRPr="0074036C">
        <w:rPr>
          <w:lang w:val="it"/>
        </w:rPr>
        <w:t>agrivoltaico</w:t>
      </w:r>
      <w:proofErr w:type="spellEnd"/>
      <w:r>
        <w:rPr>
          <w:lang w:val="it"/>
        </w:rPr>
        <w:t xml:space="preserve"> e della necessità di avviare </w:t>
      </w:r>
      <w:r w:rsidRPr="0074036C">
        <w:rPr>
          <w:lang w:val="it"/>
        </w:rPr>
        <w:t xml:space="preserve">un dibattito culturale </w:t>
      </w:r>
      <w:r>
        <w:rPr>
          <w:lang w:val="it"/>
        </w:rPr>
        <w:t>sull</w:t>
      </w:r>
      <w:r w:rsidRPr="0074036C">
        <w:rPr>
          <w:lang w:val="it"/>
        </w:rPr>
        <w:t>e trasformazioni dell’agricoltura e la decarbonizzazion</w:t>
      </w:r>
      <w:r>
        <w:rPr>
          <w:lang w:val="it"/>
        </w:rPr>
        <w:t>e</w:t>
      </w:r>
      <w:r w:rsidRPr="00B04707">
        <w:rPr>
          <w:lang w:val="it"/>
        </w:rPr>
        <w:t xml:space="preserve">. </w:t>
      </w:r>
    </w:p>
    <w:p w14:paraId="799991BA" w14:textId="77777777" w:rsidR="00633D71" w:rsidRDefault="00633D71" w:rsidP="006365EF">
      <w:pPr>
        <w:spacing w:line="276" w:lineRule="auto"/>
        <w:jc w:val="both"/>
      </w:pPr>
    </w:p>
    <w:p w14:paraId="7B5E9BC0" w14:textId="059D2B7A" w:rsidR="00436DD1" w:rsidRDefault="00D94F9F" w:rsidP="006365EF">
      <w:pPr>
        <w:spacing w:line="276" w:lineRule="auto"/>
        <w:jc w:val="both"/>
      </w:pPr>
      <w:r>
        <w:t>L’</w:t>
      </w:r>
      <w:r w:rsidR="00D23F6C">
        <w:t xml:space="preserve">appuntamento </w:t>
      </w:r>
      <w:r w:rsidR="00105C68">
        <w:t xml:space="preserve">di </w:t>
      </w:r>
      <w:r w:rsidR="00105C68" w:rsidRPr="00CA1909">
        <w:t>Fieragricola Tech 2025</w:t>
      </w:r>
      <w:r w:rsidR="00105C68">
        <w:t xml:space="preserve"> prosegue la collaborazione avviata</w:t>
      </w:r>
      <w:r w:rsidR="00436DD1">
        <w:t xml:space="preserve"> </w:t>
      </w:r>
      <w:r w:rsidR="00105C68">
        <w:t xml:space="preserve">lo scorso luglio col </w:t>
      </w:r>
      <w:r w:rsidR="00105C68" w:rsidRPr="001B4027">
        <w:rPr>
          <w:b/>
          <w:bCs/>
        </w:rPr>
        <w:t xml:space="preserve">protocollo firmato </w:t>
      </w:r>
      <w:r w:rsidR="00436DD1" w:rsidRPr="001B4027">
        <w:rPr>
          <w:b/>
          <w:bCs/>
        </w:rPr>
        <w:t>da AIAS e CONAF</w:t>
      </w:r>
      <w:r w:rsidR="00436DD1">
        <w:t xml:space="preserve"> </w:t>
      </w:r>
      <w:r w:rsidR="00105C68">
        <w:t>per</w:t>
      </w:r>
      <w:r w:rsidR="00436DD1">
        <w:t xml:space="preserve"> creare uno spazio di approfondimento e confronto sullo sviluppo dei sistemi </w:t>
      </w:r>
      <w:proofErr w:type="spellStart"/>
      <w:r w:rsidR="00436DD1">
        <w:t>agrivoltaici</w:t>
      </w:r>
      <w:proofErr w:type="spellEnd"/>
      <w:r w:rsidR="00436DD1">
        <w:t>.</w:t>
      </w:r>
    </w:p>
    <w:p w14:paraId="09ACDA96" w14:textId="77777777" w:rsidR="00436DD1" w:rsidRDefault="00436DD1" w:rsidP="006365EF">
      <w:pPr>
        <w:spacing w:line="276" w:lineRule="auto"/>
      </w:pPr>
    </w:p>
    <w:p w14:paraId="0A308045" w14:textId="3E65F154" w:rsidR="00436DD1" w:rsidRDefault="00436DD1" w:rsidP="006365EF">
      <w:pPr>
        <w:spacing w:line="276" w:lineRule="auto"/>
        <w:jc w:val="both"/>
      </w:pPr>
      <w:r>
        <w:t xml:space="preserve">AIAS parteciperà alla </w:t>
      </w:r>
      <w:r w:rsidRPr="005855B3">
        <w:rPr>
          <w:color w:val="1D1B11" w:themeColor="background2" w:themeShade="1A"/>
        </w:rPr>
        <w:t xml:space="preserve">seconda </w:t>
      </w:r>
      <w:r>
        <w:t xml:space="preserve">edizione di Fieragricola Tech, </w:t>
      </w:r>
      <w:r w:rsidRPr="00043978">
        <w:t xml:space="preserve">l’evento verticale di Fieragricola dedicato all’innovazione </w:t>
      </w:r>
      <w:r>
        <w:t>nell’</w:t>
      </w:r>
      <w:r w:rsidRPr="00043978">
        <w:t>agricoltur</w:t>
      </w:r>
      <w:r>
        <w:t>a</w:t>
      </w:r>
      <w:r w:rsidRPr="00836730">
        <w:t xml:space="preserve"> </w:t>
      </w:r>
      <w:r>
        <w:t xml:space="preserve">che avrà luogo </w:t>
      </w:r>
      <w:r w:rsidRPr="00836730">
        <w:t>il 29 e 30 gennaio presso il Centro Congressi Palaexpo di Veronafiere</w:t>
      </w:r>
      <w:r>
        <w:t xml:space="preserve">. Nei due giorni di fiera l’Associazione sarà presente con il proprio </w:t>
      </w:r>
      <w:r w:rsidRPr="001B4027">
        <w:rPr>
          <w:b/>
          <w:bCs/>
        </w:rPr>
        <w:t xml:space="preserve">stand </w:t>
      </w:r>
      <w:r w:rsidR="001B4027" w:rsidRPr="001B4027">
        <w:rPr>
          <w:b/>
          <w:bCs/>
        </w:rPr>
        <w:t>B2</w:t>
      </w:r>
      <w:r w:rsidR="001B4027">
        <w:t xml:space="preserve"> nel </w:t>
      </w:r>
      <w:r>
        <w:t xml:space="preserve">centro congressi </w:t>
      </w:r>
      <w:r w:rsidRPr="00B1011B">
        <w:rPr>
          <w:b/>
          <w:bCs/>
        </w:rPr>
        <w:t>Palaexpo</w:t>
      </w:r>
      <w:r>
        <w:t xml:space="preserve"> di Veronafiere.</w:t>
      </w:r>
    </w:p>
    <w:p w14:paraId="47F87087" w14:textId="77777777" w:rsidR="009543F5" w:rsidRDefault="009543F5" w:rsidP="006365EF">
      <w:pPr>
        <w:spacing w:line="276" w:lineRule="auto"/>
        <w:jc w:val="both"/>
      </w:pPr>
    </w:p>
    <w:p w14:paraId="0A5BE8B6" w14:textId="103BA43F" w:rsidR="009543F5" w:rsidRPr="003B577F" w:rsidRDefault="009543F5" w:rsidP="006365EF">
      <w:pPr>
        <w:spacing w:line="276" w:lineRule="auto"/>
        <w:jc w:val="both"/>
      </w:pPr>
      <w:r>
        <w:t>I</w:t>
      </w:r>
      <w:r w:rsidRPr="00836730">
        <w:t xml:space="preserve">l 29 e 30 gennaio </w:t>
      </w:r>
      <w:r w:rsidR="005238C1">
        <w:t>anche</w:t>
      </w:r>
      <w:r>
        <w:t xml:space="preserve"> il CONAF e l’ordine di Verona saranno presenti alla </w:t>
      </w:r>
      <w:r w:rsidRPr="005855B3">
        <w:rPr>
          <w:color w:val="1D1B11" w:themeColor="background2" w:themeShade="1A"/>
        </w:rPr>
        <w:t xml:space="preserve">seconda </w:t>
      </w:r>
      <w:r>
        <w:t xml:space="preserve">edizione di Fieragricola Tech con il proprio stand nel </w:t>
      </w:r>
      <w:r w:rsidRPr="00B1011B">
        <w:rPr>
          <w:b/>
          <w:bCs/>
        </w:rPr>
        <w:t xml:space="preserve">padiglione </w:t>
      </w:r>
      <w:r>
        <w:rPr>
          <w:b/>
          <w:bCs/>
        </w:rPr>
        <w:t>C</w:t>
      </w:r>
      <w:r w:rsidRPr="00B1011B">
        <w:rPr>
          <w:b/>
          <w:bCs/>
        </w:rPr>
        <w:t>2</w:t>
      </w:r>
      <w:r>
        <w:t xml:space="preserve"> del centro congressi </w:t>
      </w:r>
      <w:r w:rsidRPr="00B1011B">
        <w:rPr>
          <w:b/>
          <w:bCs/>
        </w:rPr>
        <w:t>Palaexpo</w:t>
      </w:r>
      <w:r>
        <w:t xml:space="preserve"> di Veronafiere</w:t>
      </w:r>
      <w:r w:rsidR="006365EF">
        <w:t>.</w:t>
      </w:r>
    </w:p>
    <w:p w14:paraId="01B5884C" w14:textId="77777777" w:rsidR="00436DD1" w:rsidRDefault="00436DD1" w:rsidP="006365EF">
      <w:pPr>
        <w:spacing w:line="276" w:lineRule="auto"/>
        <w:jc w:val="both"/>
        <w:rPr>
          <w:color w:val="000000" w:themeColor="text1"/>
        </w:rPr>
      </w:pPr>
    </w:p>
    <w:p w14:paraId="28C682CD" w14:textId="77777777" w:rsidR="00B32001" w:rsidRDefault="00B32001" w:rsidP="006365EF">
      <w:pPr>
        <w:spacing w:line="276" w:lineRule="auto"/>
        <w:jc w:val="both"/>
        <w:rPr>
          <w:color w:val="000000" w:themeColor="text1"/>
        </w:rPr>
      </w:pPr>
    </w:p>
    <w:p w14:paraId="2C3A8C0D" w14:textId="77777777" w:rsidR="00436DD1" w:rsidRPr="00207FEF" w:rsidRDefault="00436DD1" w:rsidP="006365EF">
      <w:pPr>
        <w:pBdr>
          <w:top w:val="single" w:sz="6" w:space="1" w:color="auto"/>
          <w:bottom w:val="single" w:sz="6" w:space="1" w:color="auto"/>
        </w:pBdr>
        <w:spacing w:line="276" w:lineRule="auto"/>
        <w:jc w:val="both"/>
        <w:rPr>
          <w:i/>
          <w:iCs/>
          <w:color w:val="000000" w:themeColor="text1"/>
        </w:rPr>
      </w:pPr>
      <w:r w:rsidRPr="00D37B6F">
        <w:rPr>
          <w:i/>
          <w:iCs/>
          <w:color w:val="000000" w:themeColor="text1"/>
        </w:rPr>
        <w:t>AIAS, presieduta da ENEA, è l'associazione italiana che promuove lo sviluppo sostenibile dell'</w:t>
      </w:r>
      <w:proofErr w:type="spellStart"/>
      <w:r w:rsidRPr="00D37B6F">
        <w:rPr>
          <w:i/>
          <w:iCs/>
          <w:color w:val="000000" w:themeColor="text1"/>
        </w:rPr>
        <w:t>agrivoltaico</w:t>
      </w:r>
      <w:proofErr w:type="spellEnd"/>
      <w:r w:rsidRPr="00D37B6F">
        <w:rPr>
          <w:i/>
          <w:iCs/>
          <w:color w:val="000000" w:themeColor="text1"/>
        </w:rPr>
        <w:t>, supportando i progetti che valorizzano il potenziale di questa tecnologia attraverso soluzioni innovative. Ad oggi, AIAS conta 104 soci, che includono aziende, istituzioni pubbliche e private, organizzazioni, cooperative, professionisti, associazioni</w:t>
      </w:r>
      <w:r>
        <w:rPr>
          <w:i/>
          <w:iCs/>
          <w:color w:val="000000" w:themeColor="text1"/>
        </w:rPr>
        <w:t xml:space="preserve">. </w:t>
      </w:r>
    </w:p>
    <w:p w14:paraId="08A6641B" w14:textId="77777777" w:rsidR="00B32001" w:rsidRDefault="00B32001" w:rsidP="006365EF">
      <w:pPr>
        <w:spacing w:line="276" w:lineRule="auto"/>
        <w:rPr>
          <w:i/>
          <w:iCs/>
          <w:color w:val="000000" w:themeColor="text1"/>
        </w:rPr>
      </w:pPr>
    </w:p>
    <w:p w14:paraId="7D2A9BE0" w14:textId="77777777" w:rsidR="00B32001" w:rsidRPr="001B4027" w:rsidRDefault="00B32001" w:rsidP="006365EF">
      <w:pPr>
        <w:spacing w:line="276" w:lineRule="auto"/>
        <w:rPr>
          <w:i/>
          <w:iCs/>
          <w:color w:val="000000" w:themeColor="text1"/>
        </w:rPr>
      </w:pPr>
    </w:p>
    <w:p w14:paraId="7377049C" w14:textId="7A394575" w:rsidR="001B4027" w:rsidRPr="00B32001" w:rsidRDefault="001B4027" w:rsidP="006365EF">
      <w:pPr>
        <w:spacing w:line="276" w:lineRule="auto"/>
        <w:rPr>
          <w:b/>
          <w:bCs/>
          <w:color w:val="000000" w:themeColor="text1"/>
        </w:rPr>
      </w:pPr>
      <w:r w:rsidRPr="00B32001">
        <w:rPr>
          <w:b/>
          <w:bCs/>
          <w:color w:val="000000" w:themeColor="text1"/>
        </w:rPr>
        <w:t xml:space="preserve">Ufficio Stampa Associazione Italiana </w:t>
      </w:r>
      <w:proofErr w:type="spellStart"/>
      <w:r w:rsidRPr="00B32001">
        <w:rPr>
          <w:b/>
          <w:bCs/>
          <w:color w:val="000000" w:themeColor="text1"/>
        </w:rPr>
        <w:t>Agrivoltaico</w:t>
      </w:r>
      <w:proofErr w:type="spellEnd"/>
      <w:r w:rsidRPr="00B32001">
        <w:rPr>
          <w:b/>
          <w:bCs/>
          <w:color w:val="000000" w:themeColor="text1"/>
        </w:rPr>
        <w:t xml:space="preserve"> Sostenibile AIAS</w:t>
      </w:r>
    </w:p>
    <w:p w14:paraId="40FBEAAA" w14:textId="58034359" w:rsidR="001B4027" w:rsidRDefault="001B4027" w:rsidP="006365EF">
      <w:pPr>
        <w:shd w:val="clear" w:color="auto" w:fill="FFFFFF"/>
        <w:spacing w:line="276" w:lineRule="auto"/>
        <w:rPr>
          <w:i/>
          <w:iCs/>
          <w:color w:val="000000" w:themeColor="text1"/>
        </w:rPr>
      </w:pPr>
      <w:r w:rsidRPr="001B4027">
        <w:rPr>
          <w:i/>
          <w:iCs/>
          <w:color w:val="000000" w:themeColor="text1"/>
        </w:rPr>
        <w:t xml:space="preserve">Massimiliano Tripodo </w:t>
      </w:r>
      <w:r>
        <w:rPr>
          <w:i/>
          <w:iCs/>
          <w:color w:val="000000" w:themeColor="text1"/>
        </w:rPr>
        <w:t>Cell: 3494243209</w:t>
      </w:r>
    </w:p>
    <w:p w14:paraId="1AD65F73" w14:textId="05D011EB" w:rsidR="001B4027" w:rsidRPr="001B4027" w:rsidRDefault="001B4027" w:rsidP="006365EF">
      <w:pPr>
        <w:shd w:val="clear" w:color="auto" w:fill="FFFFFF"/>
        <w:spacing w:line="276" w:lineRule="auto"/>
        <w:rPr>
          <w:i/>
          <w:iCs/>
          <w:color w:val="000000" w:themeColor="text1"/>
        </w:rPr>
      </w:pPr>
      <w:r w:rsidRPr="001B4027">
        <w:rPr>
          <w:i/>
          <w:iCs/>
          <w:color w:val="000000" w:themeColor="text1"/>
        </w:rPr>
        <w:t>ufficiostampa@</w:t>
      </w:r>
      <w:hyperlink r:id="rId9" w:tgtFrame="_self" w:history="1">
        <w:r w:rsidRPr="001B4027">
          <w:rPr>
            <w:i/>
            <w:iCs/>
            <w:color w:val="000000" w:themeColor="text1"/>
          </w:rPr>
          <w:t>associazioneitalianagrivoltaicosostenibile.com</w:t>
        </w:r>
      </w:hyperlink>
    </w:p>
    <w:p w14:paraId="022A9B0F" w14:textId="754F9E4B" w:rsidR="001B4027" w:rsidRPr="001B4027" w:rsidRDefault="001B4027" w:rsidP="006365EF">
      <w:pPr>
        <w:spacing w:line="276" w:lineRule="auto"/>
        <w:rPr>
          <w:i/>
          <w:iCs/>
          <w:color w:val="000000" w:themeColor="text1"/>
        </w:rPr>
      </w:pPr>
    </w:p>
    <w:p w14:paraId="3C8C6EDA" w14:textId="77777777" w:rsidR="00A05905" w:rsidRPr="00B32001" w:rsidRDefault="00A05905" w:rsidP="006365EF">
      <w:pPr>
        <w:spacing w:line="276" w:lineRule="auto"/>
        <w:rPr>
          <w:b/>
          <w:bCs/>
          <w:color w:val="000000" w:themeColor="text1"/>
        </w:rPr>
      </w:pPr>
      <w:r w:rsidRPr="00B32001">
        <w:rPr>
          <w:b/>
          <w:bCs/>
          <w:color w:val="000000" w:themeColor="text1"/>
        </w:rPr>
        <w:t>Ufficio Stampa - Consiglio dell'Ordine Nazionale dei Dottori Agronomi e dei Dottori Forestali</w:t>
      </w:r>
    </w:p>
    <w:p w14:paraId="1DDC19A8" w14:textId="58E39A68" w:rsidR="001B4027" w:rsidRDefault="00A05905" w:rsidP="006365EF">
      <w:pPr>
        <w:pBdr>
          <w:top w:val="nil"/>
          <w:left w:val="nil"/>
          <w:bottom w:val="nil"/>
          <w:right w:val="nil"/>
          <w:between w:val="nil"/>
        </w:pBdr>
        <w:spacing w:line="276" w:lineRule="auto"/>
        <w:rPr>
          <w:i/>
          <w:iCs/>
          <w:color w:val="000000" w:themeColor="text1"/>
        </w:rPr>
      </w:pPr>
      <w:r w:rsidRPr="001B4027">
        <w:rPr>
          <w:i/>
          <w:iCs/>
          <w:color w:val="000000" w:themeColor="text1"/>
        </w:rPr>
        <w:t xml:space="preserve">Manuel Bertin Telefono </w:t>
      </w:r>
      <w:r w:rsidR="001B4027">
        <w:rPr>
          <w:i/>
          <w:iCs/>
          <w:color w:val="000000" w:themeColor="text1"/>
        </w:rPr>
        <w:t xml:space="preserve">Cell: </w:t>
      </w:r>
      <w:r w:rsidRPr="001B4027">
        <w:rPr>
          <w:i/>
          <w:iCs/>
          <w:color w:val="000000" w:themeColor="text1"/>
        </w:rPr>
        <w:t xml:space="preserve">329-3548053 </w:t>
      </w:r>
    </w:p>
    <w:p w14:paraId="1071D798" w14:textId="70431180" w:rsidR="00503CFB" w:rsidRDefault="00014AB7" w:rsidP="006365EF">
      <w:pPr>
        <w:pBdr>
          <w:top w:val="nil"/>
          <w:left w:val="nil"/>
          <w:bottom w:val="nil"/>
          <w:right w:val="nil"/>
          <w:between w:val="nil"/>
        </w:pBdr>
        <w:spacing w:line="276" w:lineRule="auto"/>
        <w:rPr>
          <w:rFonts w:ascii="Bodoni" w:eastAsia="Bodoni" w:hAnsi="Bodoni" w:cs="Bodoni"/>
          <w:color w:val="000000"/>
          <w:sz w:val="22"/>
          <w:szCs w:val="22"/>
        </w:rPr>
      </w:pPr>
      <w:hyperlink r:id="rId10" w:history="1">
        <w:r w:rsidRPr="001B4027">
          <w:rPr>
            <w:i/>
            <w:iCs/>
            <w:color w:val="000000" w:themeColor="text1"/>
          </w:rPr>
          <w:t>ufficiostampa@conaf.it</w:t>
        </w:r>
      </w:hyperlink>
    </w:p>
    <w:sectPr w:rsidR="00503CFB">
      <w:headerReference w:type="even" r:id="rId11"/>
      <w:headerReference w:type="default" r:id="rId12"/>
      <w:footerReference w:type="even" r:id="rId13"/>
      <w:footerReference w:type="default" r:id="rId14"/>
      <w:headerReference w:type="first" r:id="rId15"/>
      <w:footerReference w:type="first" r:id="rId16"/>
      <w:pgSz w:w="11906" w:h="16838"/>
      <w:pgMar w:top="719" w:right="1134" w:bottom="1134" w:left="1134" w:header="72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D2277" w14:textId="77777777" w:rsidR="006C43DD" w:rsidRDefault="006C43DD">
      <w:r>
        <w:separator/>
      </w:r>
    </w:p>
  </w:endnote>
  <w:endnote w:type="continuationSeparator" w:id="0">
    <w:p w14:paraId="3E0A911E" w14:textId="77777777" w:rsidR="006C43DD" w:rsidRDefault="006C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w:altName w:val="Calibri"/>
    <w:panose1 w:val="00000400000000000000"/>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F8AED" w14:textId="77777777" w:rsidR="00ED204F" w:rsidRDefault="00ED204F">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E9A34" w14:textId="2EA76764" w:rsidR="00ED204F" w:rsidRDefault="00ED204F">
    <w:pPr>
      <w:keepNext/>
      <w:numPr>
        <w:ilvl w:val="6"/>
        <w:numId w:val="1"/>
      </w:numPr>
      <w:pBdr>
        <w:top w:val="nil"/>
        <w:left w:val="nil"/>
        <w:bottom w:val="nil"/>
        <w:right w:val="nil"/>
        <w:between w:val="nil"/>
      </w:pBd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9AA6E" w14:textId="77777777" w:rsidR="00ED204F" w:rsidRDefault="00ED204F">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E17B9" w14:textId="77777777" w:rsidR="006C43DD" w:rsidRDefault="006C43DD">
      <w:r>
        <w:separator/>
      </w:r>
    </w:p>
  </w:footnote>
  <w:footnote w:type="continuationSeparator" w:id="0">
    <w:p w14:paraId="14BB522B" w14:textId="77777777" w:rsidR="006C43DD" w:rsidRDefault="006C4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0AC29" w14:textId="77777777" w:rsidR="00ED204F" w:rsidRDefault="00ED204F">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3F2A1" w14:textId="77777777" w:rsidR="00ED204F" w:rsidRDefault="00ED204F">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4A553" w14:textId="77777777" w:rsidR="00ED204F" w:rsidRDefault="00ED204F">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16F32"/>
    <w:multiLevelType w:val="multilevel"/>
    <w:tmpl w:val="3F589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D350B9A"/>
    <w:multiLevelType w:val="multilevel"/>
    <w:tmpl w:val="7B6676C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9615986"/>
    <w:multiLevelType w:val="multilevel"/>
    <w:tmpl w:val="48CC23B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1296" w:hanging="1296"/>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1994873274">
    <w:abstractNumId w:val="2"/>
  </w:num>
  <w:num w:numId="2" w16cid:durableId="395205561">
    <w:abstractNumId w:val="1"/>
  </w:num>
  <w:num w:numId="3" w16cid:durableId="772631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4F"/>
    <w:rsid w:val="00014AB7"/>
    <w:rsid w:val="00025780"/>
    <w:rsid w:val="00080214"/>
    <w:rsid w:val="00091749"/>
    <w:rsid w:val="000976EE"/>
    <w:rsid w:val="000D17D8"/>
    <w:rsid w:val="000E5122"/>
    <w:rsid w:val="00105C68"/>
    <w:rsid w:val="0016581A"/>
    <w:rsid w:val="001766B2"/>
    <w:rsid w:val="00177A6B"/>
    <w:rsid w:val="001A318A"/>
    <w:rsid w:val="001B3364"/>
    <w:rsid w:val="001B4027"/>
    <w:rsid w:val="001E60EE"/>
    <w:rsid w:val="0023323A"/>
    <w:rsid w:val="002744E1"/>
    <w:rsid w:val="00294740"/>
    <w:rsid w:val="002E1B4E"/>
    <w:rsid w:val="0030484B"/>
    <w:rsid w:val="00340E18"/>
    <w:rsid w:val="0035572F"/>
    <w:rsid w:val="003A50DF"/>
    <w:rsid w:val="003B0429"/>
    <w:rsid w:val="003C4F43"/>
    <w:rsid w:val="003E6EC5"/>
    <w:rsid w:val="00406317"/>
    <w:rsid w:val="004218A1"/>
    <w:rsid w:val="00426E24"/>
    <w:rsid w:val="00436DD1"/>
    <w:rsid w:val="004A660F"/>
    <w:rsid w:val="004C1E2F"/>
    <w:rsid w:val="00503CFB"/>
    <w:rsid w:val="00520084"/>
    <w:rsid w:val="005238C1"/>
    <w:rsid w:val="005278D3"/>
    <w:rsid w:val="005B491D"/>
    <w:rsid w:val="00610BA7"/>
    <w:rsid w:val="00630E67"/>
    <w:rsid w:val="00633D71"/>
    <w:rsid w:val="006365EF"/>
    <w:rsid w:val="00640308"/>
    <w:rsid w:val="00675C46"/>
    <w:rsid w:val="006C43DD"/>
    <w:rsid w:val="006E7F08"/>
    <w:rsid w:val="00732BC7"/>
    <w:rsid w:val="00734AB4"/>
    <w:rsid w:val="0073780B"/>
    <w:rsid w:val="007507F7"/>
    <w:rsid w:val="0078199B"/>
    <w:rsid w:val="007A0DAC"/>
    <w:rsid w:val="007D2D24"/>
    <w:rsid w:val="007E7858"/>
    <w:rsid w:val="00817E15"/>
    <w:rsid w:val="008334EE"/>
    <w:rsid w:val="008419AA"/>
    <w:rsid w:val="00863B27"/>
    <w:rsid w:val="00865E54"/>
    <w:rsid w:val="008A05C2"/>
    <w:rsid w:val="008D206A"/>
    <w:rsid w:val="009035DF"/>
    <w:rsid w:val="00906200"/>
    <w:rsid w:val="00950B9D"/>
    <w:rsid w:val="009543F5"/>
    <w:rsid w:val="00A01242"/>
    <w:rsid w:val="00A05905"/>
    <w:rsid w:val="00A561A5"/>
    <w:rsid w:val="00A64A37"/>
    <w:rsid w:val="00A8075D"/>
    <w:rsid w:val="00AA0D3B"/>
    <w:rsid w:val="00B038AF"/>
    <w:rsid w:val="00B16976"/>
    <w:rsid w:val="00B31F77"/>
    <w:rsid w:val="00B32001"/>
    <w:rsid w:val="00B66F6B"/>
    <w:rsid w:val="00B84EB1"/>
    <w:rsid w:val="00C43847"/>
    <w:rsid w:val="00C76C4D"/>
    <w:rsid w:val="00CA6733"/>
    <w:rsid w:val="00CD365F"/>
    <w:rsid w:val="00D1751D"/>
    <w:rsid w:val="00D23F6C"/>
    <w:rsid w:val="00D806D0"/>
    <w:rsid w:val="00D8092A"/>
    <w:rsid w:val="00D94F9F"/>
    <w:rsid w:val="00E2516F"/>
    <w:rsid w:val="00E26292"/>
    <w:rsid w:val="00E5223B"/>
    <w:rsid w:val="00EB65BA"/>
    <w:rsid w:val="00ED204F"/>
    <w:rsid w:val="00EE4F41"/>
    <w:rsid w:val="00EF6137"/>
    <w:rsid w:val="00F1289A"/>
    <w:rsid w:val="00F239C8"/>
    <w:rsid w:val="00F41E11"/>
    <w:rsid w:val="00F60971"/>
    <w:rsid w:val="00F908F7"/>
    <w:rsid w:val="00FD04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DFF1F"/>
  <w15:docId w15:val="{B22EE029-BBD8-429A-BC3A-F565758C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spacing w:before="240" w:after="60"/>
      <w:outlineLvl w:val="0"/>
    </w:pPr>
    <w:rPr>
      <w:rFonts w:ascii="Calibri" w:eastAsia="Calibri" w:hAnsi="Calibri" w:cs="Calibri"/>
      <w:b/>
      <w:sz w:val="32"/>
      <w:szCs w:val="32"/>
    </w:rPr>
  </w:style>
  <w:style w:type="paragraph" w:styleId="Titolo2">
    <w:name w:val="heading 2"/>
    <w:basedOn w:val="Normale"/>
    <w:next w:val="Normale"/>
    <w:uiPriority w:val="9"/>
    <w:semiHidden/>
    <w:unhideWhenUsed/>
    <w:qFormat/>
    <w:pPr>
      <w:keepNext/>
      <w:spacing w:before="240" w:after="60"/>
      <w:outlineLvl w:val="1"/>
    </w:pPr>
    <w:rPr>
      <w:rFonts w:ascii="Calibri" w:eastAsia="Calibri" w:hAnsi="Calibri" w:cs="Calibri"/>
      <w:b/>
      <w:i/>
      <w:sz w:val="28"/>
      <w:szCs w:val="28"/>
    </w:rPr>
  </w:style>
  <w:style w:type="paragraph" w:styleId="Titolo3">
    <w:name w:val="heading 3"/>
    <w:basedOn w:val="Normale"/>
    <w:next w:val="Normale"/>
    <w:uiPriority w:val="9"/>
    <w:semiHidden/>
    <w:unhideWhenUsed/>
    <w:qFormat/>
    <w:pPr>
      <w:keepNext/>
      <w:spacing w:before="240" w:after="60"/>
      <w:outlineLvl w:val="2"/>
    </w:pPr>
    <w:rPr>
      <w:rFonts w:ascii="Calibri" w:eastAsia="Calibri" w:hAnsi="Calibri" w:cs="Calibri"/>
      <w:b/>
      <w:sz w:val="26"/>
      <w:szCs w:val="26"/>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jc w:val="center"/>
    </w:pPr>
    <w:rPr>
      <w:b/>
      <w:i/>
      <w:sz w:val="22"/>
      <w:szCs w:val="22"/>
    </w:rPr>
  </w:style>
  <w:style w:type="table" w:styleId="Grigliatabella">
    <w:name w:val="Table Grid"/>
    <w:basedOn w:val="Tabellanormale"/>
    <w:uiPriority w:val="39"/>
    <w:rsid w:val="00340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40308"/>
    <w:rPr>
      <w:color w:val="0000FF" w:themeColor="hyperlink"/>
      <w:u w:val="single"/>
    </w:rPr>
  </w:style>
  <w:style w:type="character" w:styleId="Menzionenonrisolta">
    <w:name w:val="Unresolved Mention"/>
    <w:basedOn w:val="Carpredefinitoparagrafo"/>
    <w:uiPriority w:val="99"/>
    <w:semiHidden/>
    <w:unhideWhenUsed/>
    <w:rsid w:val="00014AB7"/>
    <w:rPr>
      <w:color w:val="605E5C"/>
      <w:shd w:val="clear" w:color="auto" w:fill="E1DFDD"/>
    </w:rPr>
  </w:style>
  <w:style w:type="character" w:styleId="Rimandocommento">
    <w:name w:val="annotation reference"/>
    <w:basedOn w:val="Carpredefinitoparagrafo"/>
    <w:uiPriority w:val="99"/>
    <w:semiHidden/>
    <w:unhideWhenUsed/>
    <w:rsid w:val="0073780B"/>
    <w:rPr>
      <w:sz w:val="16"/>
      <w:szCs w:val="16"/>
    </w:rPr>
  </w:style>
  <w:style w:type="paragraph" w:styleId="Testocommento">
    <w:name w:val="annotation text"/>
    <w:basedOn w:val="Normale"/>
    <w:link w:val="TestocommentoCarattere"/>
    <w:uiPriority w:val="99"/>
    <w:unhideWhenUsed/>
    <w:rsid w:val="0073780B"/>
    <w:rPr>
      <w:sz w:val="20"/>
      <w:szCs w:val="20"/>
    </w:rPr>
  </w:style>
  <w:style w:type="character" w:customStyle="1" w:styleId="TestocommentoCarattere">
    <w:name w:val="Testo commento Carattere"/>
    <w:basedOn w:val="Carpredefinitoparagrafo"/>
    <w:link w:val="Testocommento"/>
    <w:uiPriority w:val="99"/>
    <w:rsid w:val="0073780B"/>
    <w:rPr>
      <w:sz w:val="20"/>
      <w:szCs w:val="20"/>
    </w:rPr>
  </w:style>
  <w:style w:type="paragraph" w:styleId="Soggettocommento">
    <w:name w:val="annotation subject"/>
    <w:basedOn w:val="Testocommento"/>
    <w:next w:val="Testocommento"/>
    <w:link w:val="SoggettocommentoCarattere"/>
    <w:uiPriority w:val="99"/>
    <w:semiHidden/>
    <w:unhideWhenUsed/>
    <w:rsid w:val="0073780B"/>
    <w:rPr>
      <w:b/>
      <w:bCs/>
    </w:rPr>
  </w:style>
  <w:style w:type="character" w:customStyle="1" w:styleId="SoggettocommentoCarattere">
    <w:name w:val="Soggetto commento Carattere"/>
    <w:basedOn w:val="TestocommentoCarattere"/>
    <w:link w:val="Soggettocommento"/>
    <w:uiPriority w:val="99"/>
    <w:semiHidden/>
    <w:rsid w:val="0073780B"/>
    <w:rPr>
      <w:b/>
      <w:bCs/>
      <w:sz w:val="20"/>
      <w:szCs w:val="20"/>
    </w:rPr>
  </w:style>
  <w:style w:type="paragraph" w:styleId="Revisione">
    <w:name w:val="Revision"/>
    <w:hidden/>
    <w:uiPriority w:val="99"/>
    <w:semiHidden/>
    <w:rsid w:val="00436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371378">
      <w:bodyDiv w:val="1"/>
      <w:marLeft w:val="0"/>
      <w:marRight w:val="0"/>
      <w:marTop w:val="0"/>
      <w:marBottom w:val="0"/>
      <w:divBdr>
        <w:top w:val="none" w:sz="0" w:space="0" w:color="auto"/>
        <w:left w:val="none" w:sz="0" w:space="0" w:color="auto"/>
        <w:bottom w:val="none" w:sz="0" w:space="0" w:color="auto"/>
        <w:right w:val="none" w:sz="0" w:space="0" w:color="auto"/>
      </w:divBdr>
    </w:div>
    <w:div w:id="910391423">
      <w:bodyDiv w:val="1"/>
      <w:marLeft w:val="0"/>
      <w:marRight w:val="0"/>
      <w:marTop w:val="0"/>
      <w:marBottom w:val="0"/>
      <w:divBdr>
        <w:top w:val="none" w:sz="0" w:space="0" w:color="auto"/>
        <w:left w:val="none" w:sz="0" w:space="0" w:color="auto"/>
        <w:bottom w:val="none" w:sz="0" w:space="0" w:color="auto"/>
        <w:right w:val="none" w:sz="0" w:space="0" w:color="auto"/>
      </w:divBdr>
    </w:div>
    <w:div w:id="1043095575">
      <w:bodyDiv w:val="1"/>
      <w:marLeft w:val="0"/>
      <w:marRight w:val="0"/>
      <w:marTop w:val="0"/>
      <w:marBottom w:val="0"/>
      <w:divBdr>
        <w:top w:val="none" w:sz="0" w:space="0" w:color="auto"/>
        <w:left w:val="none" w:sz="0" w:space="0" w:color="auto"/>
        <w:bottom w:val="none" w:sz="0" w:space="0" w:color="auto"/>
        <w:right w:val="none" w:sz="0" w:space="0" w:color="auto"/>
      </w:divBdr>
    </w:div>
    <w:div w:id="1414398294">
      <w:bodyDiv w:val="1"/>
      <w:marLeft w:val="0"/>
      <w:marRight w:val="0"/>
      <w:marTop w:val="0"/>
      <w:marBottom w:val="0"/>
      <w:divBdr>
        <w:top w:val="none" w:sz="0" w:space="0" w:color="auto"/>
        <w:left w:val="none" w:sz="0" w:space="0" w:color="auto"/>
        <w:bottom w:val="none" w:sz="0" w:space="0" w:color="auto"/>
        <w:right w:val="none" w:sz="0" w:space="0" w:color="auto"/>
      </w:divBdr>
    </w:div>
    <w:div w:id="1533761993">
      <w:bodyDiv w:val="1"/>
      <w:marLeft w:val="0"/>
      <w:marRight w:val="0"/>
      <w:marTop w:val="0"/>
      <w:marBottom w:val="0"/>
      <w:divBdr>
        <w:top w:val="none" w:sz="0" w:space="0" w:color="auto"/>
        <w:left w:val="none" w:sz="0" w:space="0" w:color="auto"/>
        <w:bottom w:val="none" w:sz="0" w:space="0" w:color="auto"/>
        <w:right w:val="none" w:sz="0" w:space="0" w:color="auto"/>
      </w:divBdr>
    </w:div>
    <w:div w:id="1633900700">
      <w:bodyDiv w:val="1"/>
      <w:marLeft w:val="0"/>
      <w:marRight w:val="0"/>
      <w:marTop w:val="0"/>
      <w:marBottom w:val="0"/>
      <w:divBdr>
        <w:top w:val="none" w:sz="0" w:space="0" w:color="auto"/>
        <w:left w:val="none" w:sz="0" w:space="0" w:color="auto"/>
        <w:bottom w:val="none" w:sz="0" w:space="0" w:color="auto"/>
        <w:right w:val="none" w:sz="0" w:space="0" w:color="auto"/>
      </w:divBdr>
    </w:div>
    <w:div w:id="198692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ufficiostampa@conaf.it" TargetMode="External"/><Relationship Id="rId4" Type="http://schemas.openxmlformats.org/officeDocument/2006/relationships/webSettings" Target="webSettings.xml"/><Relationship Id="rId9" Type="http://schemas.openxmlformats.org/officeDocument/2006/relationships/hyperlink" Target="javascript:webmail.View.mailto(%7bmailto:'tecnologie@associazioneitalianagrivoltaicosostenibile.com',%20subject:%20''%7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745</Words>
  <Characters>4249</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Capone</dc:creator>
  <cp:lastModifiedBy>Massimiliano Tripodo</cp:lastModifiedBy>
  <cp:revision>10</cp:revision>
  <cp:lastPrinted>2024-12-04T15:02:00Z</cp:lastPrinted>
  <dcterms:created xsi:type="dcterms:W3CDTF">2025-01-16T09:27:00Z</dcterms:created>
  <dcterms:modified xsi:type="dcterms:W3CDTF">2025-01-17T12:01:00Z</dcterms:modified>
</cp:coreProperties>
</file>